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40" w:rsidRDefault="00934340" w:rsidP="00934340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934340">
      <w:pPr>
        <w:tabs>
          <w:tab w:val="left" w:pos="3686"/>
        </w:tabs>
        <w:ind w:right="-29"/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INVESTITOR: </w:t>
      </w:r>
      <w:r>
        <w:rPr>
          <w:rFonts w:ascii="Arial" w:hAnsi="Arial"/>
          <w:b w:val="0"/>
          <w:sz w:val="22"/>
          <w:lang w:val="hr-HR"/>
        </w:rPr>
        <w:tab/>
        <w:t>OPĆINA VISOKO, VISOKO 20</w:t>
      </w:r>
    </w:p>
    <w:p w:rsidR="00934340" w:rsidRDefault="00934340" w:rsidP="00934340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GRAĐEVIN</w:t>
      </w:r>
      <w:r w:rsidR="00B23844">
        <w:rPr>
          <w:rFonts w:ascii="Arial" w:hAnsi="Arial"/>
          <w:b w:val="0"/>
          <w:sz w:val="22"/>
          <w:lang w:val="hr-HR"/>
        </w:rPr>
        <w:t xml:space="preserve">A: </w:t>
      </w:r>
      <w:r w:rsidR="00B23844">
        <w:rPr>
          <w:rFonts w:ascii="Arial" w:hAnsi="Arial"/>
          <w:b w:val="0"/>
          <w:sz w:val="22"/>
          <w:lang w:val="hr-HR"/>
        </w:rPr>
        <w:tab/>
        <w:t xml:space="preserve">NERAZVRSTANA CESTA: NC 1-045 HAJDUCI </w:t>
      </w:r>
    </w:p>
    <w:p w:rsidR="00934340" w:rsidRDefault="00B23844" w:rsidP="00934340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                                                          </w:t>
      </w:r>
    </w:p>
    <w:p w:rsidR="00934340" w:rsidRDefault="00B23844" w:rsidP="00934340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MJESTO GRADNJE: </w:t>
      </w:r>
      <w:r>
        <w:rPr>
          <w:rFonts w:ascii="Arial" w:hAnsi="Arial"/>
          <w:b w:val="0"/>
          <w:sz w:val="22"/>
          <w:lang w:val="hr-HR"/>
        </w:rPr>
        <w:tab/>
        <w:t>čkbr. 874/1  k.o. Čanjevo</w:t>
      </w:r>
    </w:p>
    <w:p w:rsidR="00934340" w:rsidRDefault="00934340" w:rsidP="00934340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BROJ.TEH.DN: </w:t>
      </w:r>
      <w:r>
        <w:rPr>
          <w:rFonts w:ascii="Arial" w:hAnsi="Arial"/>
          <w:b w:val="0"/>
          <w:sz w:val="22"/>
          <w:lang w:val="hr-HR"/>
        </w:rPr>
        <w:tab/>
        <w:t>22/2018.</w:t>
      </w:r>
    </w:p>
    <w:p w:rsidR="00934340" w:rsidRDefault="00934340" w:rsidP="00934340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</w:t>
      </w:r>
    </w:p>
    <w:p w:rsidR="00934340" w:rsidRDefault="00934340" w:rsidP="00934340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PROJEKTANT:</w:t>
      </w:r>
      <w:r>
        <w:rPr>
          <w:rFonts w:ascii="Arial" w:hAnsi="Arial"/>
          <w:b w:val="0"/>
          <w:sz w:val="22"/>
          <w:lang w:val="hr-HR"/>
        </w:rPr>
        <w:tab/>
        <w:t>Bruno Hajduk, ing.građ.</w:t>
      </w:r>
    </w:p>
    <w:p w:rsidR="00934340" w:rsidRDefault="00934340" w:rsidP="00934340">
      <w:pPr>
        <w:rPr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lang w:val="de-DE"/>
        </w:rPr>
      </w:pPr>
    </w:p>
    <w:p w:rsidR="00866EB6" w:rsidRDefault="00866EB6" w:rsidP="00866EB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>
        <w:rPr>
          <w:rFonts w:ascii="Arial" w:hAnsi="Arial"/>
          <w:bCs/>
          <w:lang w:val="de-DE"/>
        </w:rPr>
        <w:t xml:space="preserve"> </w:t>
      </w:r>
      <w:r>
        <w:rPr>
          <w:rFonts w:ascii="Arial" w:hAnsi="Arial"/>
          <w:bCs/>
          <w:sz w:val="32"/>
          <w:szCs w:val="32"/>
          <w:lang w:val="de-DE"/>
        </w:rPr>
        <w:t xml:space="preserve"> </w:t>
      </w:r>
      <w:r w:rsidR="00314453">
        <w:rPr>
          <w:rFonts w:ascii="Arial" w:hAnsi="Arial"/>
          <w:bCs/>
          <w:sz w:val="32"/>
          <w:szCs w:val="32"/>
          <w:lang w:val="de-DE"/>
        </w:rPr>
        <w:t xml:space="preserve">3. </w:t>
      </w:r>
      <w:r>
        <w:rPr>
          <w:rFonts w:ascii="Arial" w:hAnsi="Arial"/>
          <w:bCs/>
          <w:sz w:val="32"/>
          <w:szCs w:val="32"/>
          <w:lang w:val="de-DE"/>
        </w:rPr>
        <w:t xml:space="preserve">TROŠKOVNIK </w:t>
      </w:r>
    </w:p>
    <w:p w:rsidR="00866EB6" w:rsidRDefault="00866EB6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>NC 1-045 HAJDUCI</w:t>
      </w: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934340" w:rsidRDefault="00934340" w:rsidP="00866EB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866EB6" w:rsidRDefault="00866EB6" w:rsidP="00866EB6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-dužina trase:</w:t>
      </w:r>
      <w:r>
        <w:rPr>
          <w:rFonts w:ascii="Arial" w:hAnsi="Arial"/>
          <w:b w:val="0"/>
          <w:lang w:val="en-GB"/>
        </w:rPr>
        <w:tab/>
        <w:t>100,0 m</w:t>
      </w:r>
    </w:p>
    <w:p w:rsidR="00866EB6" w:rsidRDefault="00866EB6" w:rsidP="00866EB6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-kolnik:</w:t>
      </w:r>
      <w:r>
        <w:rPr>
          <w:rFonts w:ascii="Arial" w:hAnsi="Arial"/>
          <w:b w:val="0"/>
          <w:lang w:val="en-GB"/>
        </w:rPr>
        <w:tab/>
      </w:r>
      <w:r>
        <w:rPr>
          <w:rFonts w:ascii="Arial" w:hAnsi="Arial"/>
          <w:b w:val="0"/>
          <w:lang w:val="en-GB"/>
        </w:rPr>
        <w:tab/>
        <w:t>kamen i zemlja</w:t>
      </w:r>
    </w:p>
    <w:p w:rsidR="00866EB6" w:rsidRDefault="00866EB6" w:rsidP="00866EB6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-modernizacija:</w:t>
      </w:r>
      <w:r>
        <w:rPr>
          <w:rFonts w:ascii="Arial" w:hAnsi="Arial"/>
          <w:b w:val="0"/>
          <w:lang w:val="en-GB"/>
        </w:rPr>
        <w:tab/>
        <w:t>asfalt</w:t>
      </w:r>
    </w:p>
    <w:p w:rsidR="00866EB6" w:rsidRDefault="00866EB6" w:rsidP="00866EB6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-širina kolnika:</w:t>
      </w:r>
      <w:r>
        <w:rPr>
          <w:rFonts w:ascii="Arial" w:hAnsi="Arial"/>
          <w:b w:val="0"/>
          <w:lang w:val="en-GB"/>
        </w:rPr>
        <w:tab/>
        <w:t>2,75 m</w:t>
      </w:r>
    </w:p>
    <w:p w:rsidR="00F05EEE" w:rsidRDefault="00F05EEE"/>
    <w:p w:rsidR="00866EB6" w:rsidRDefault="00866EB6"/>
    <w:p w:rsidR="00866EB6" w:rsidRDefault="00866EB6"/>
    <w:p w:rsidR="00866EB6" w:rsidRDefault="00866EB6"/>
    <w:p w:rsidR="00866EB6" w:rsidRDefault="00866EB6"/>
    <w:p w:rsidR="00866EB6" w:rsidRDefault="00866EB6"/>
    <w:p w:rsidR="00866EB6" w:rsidRDefault="00866EB6"/>
    <w:p w:rsidR="00866EB6" w:rsidRDefault="00866EB6"/>
    <w:p w:rsidR="00402963" w:rsidRDefault="00402963"/>
    <w:p w:rsidR="00866EB6" w:rsidRDefault="00866EB6"/>
    <w:p w:rsidR="00866EB6" w:rsidRDefault="00866EB6"/>
    <w:p w:rsidR="00866EB6" w:rsidRDefault="00866EB6"/>
    <w:p w:rsidR="00866EB6" w:rsidRDefault="00866EB6"/>
    <w:p w:rsidR="00866EB6" w:rsidRPr="00402963" w:rsidRDefault="00402963" w:rsidP="00866EB6">
      <w:pPr>
        <w:ind w:right="-1"/>
        <w:jc w:val="center"/>
        <w:rPr>
          <w:rFonts w:ascii="Arial" w:hAnsi="Arial"/>
          <w:bCs/>
          <w:sz w:val="18"/>
          <w:szCs w:val="18"/>
          <w:lang w:val="en-GB"/>
        </w:rPr>
      </w:pPr>
      <w:r>
        <w:rPr>
          <w:rFonts w:ascii="Arial" w:hAnsi="Arial"/>
          <w:bCs/>
          <w:lang w:val="en-GB"/>
        </w:rPr>
        <w:t xml:space="preserve">                                                                                                   </w:t>
      </w:r>
      <w:r w:rsidRPr="00402963">
        <w:rPr>
          <w:rFonts w:ascii="Arial" w:hAnsi="Arial"/>
          <w:bCs/>
          <w:sz w:val="18"/>
          <w:szCs w:val="18"/>
          <w:lang w:val="en-GB"/>
        </w:rPr>
        <w:t>str.</w:t>
      </w:r>
      <w:r>
        <w:rPr>
          <w:rFonts w:ascii="Arial" w:hAnsi="Arial"/>
          <w:bCs/>
          <w:sz w:val="18"/>
          <w:szCs w:val="18"/>
          <w:lang w:val="en-GB"/>
        </w:rPr>
        <w:t xml:space="preserve"> </w:t>
      </w:r>
      <w:r w:rsidRPr="00402963">
        <w:rPr>
          <w:rFonts w:ascii="Arial" w:hAnsi="Arial"/>
          <w:bCs/>
          <w:sz w:val="18"/>
          <w:szCs w:val="18"/>
          <w:lang w:val="en-GB"/>
        </w:rPr>
        <w:t>2</w:t>
      </w:r>
    </w:p>
    <w:p w:rsidR="00866EB6" w:rsidRDefault="00866EB6" w:rsidP="00866EB6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prenošenje podataka sa projekta (skice) na teren, osiguranje osi iskolčenja trase, profiliranje,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100,00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lastRenderedPageBreak/>
              <w:t xml:space="preserve">                                                                                             </w:t>
            </w:r>
          </w:p>
          <w:p w:rsidR="00402963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lastRenderedPageBreak/>
              <w:t>str. 3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lastRenderedPageBreak/>
              <w:t>2.00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pomiješanog zemljano kamenog materijala. U kolniku prisutan kameni materijal  koji se ne odvozi nego planira po trasi.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3,35 m. (2,75 m širina ceste te obostrano bankine po 0,30 m) 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projektirane ceste. Uz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napomenu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100,00 x 3,35   = 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335,00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30 cm (novi sloj debljine 30 cm) od kamenog ili šljunčanog materijala 0/60 mm. </w:t>
            </w:r>
            <w:r>
              <w:rPr>
                <w:rFonts w:ascii="Arial" w:hAnsi="Arial" w:cs="Arial"/>
                <w:b w:val="0"/>
                <w:bCs/>
                <w:sz w:val="18"/>
              </w:rPr>
              <w:t xml:space="preserve">Radove izvesti prema O.T.U. za radove na cestama točka 2.9.3. Stavka obuhvaća dovoz materijala, ugradnju i valjanje u slojevima dok se ne postigne zbijenost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-100,0 x 3,30 x  0,30 =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99,00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Izrada bankina od zemljano šljunčanog materijala, sa  planiranjem i valjanjem. Širina bankine do 30 cm.  (dodatak do 30 % šljunčanog materijala)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85,00 x 0,3 x2,0 =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51,00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odvozom iskopa na deponiju do 5,0 km. (deponiju osigurava investitor)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100,00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02963" w:rsidTr="004650CE">
        <w:tc>
          <w:tcPr>
            <w:tcW w:w="817" w:type="dxa"/>
            <w:shd w:val="clear" w:color="auto" w:fill="auto"/>
          </w:tcPr>
          <w:p w:rsidR="00402963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lastRenderedPageBreak/>
              <w:t xml:space="preserve">                            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402963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02963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4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 i ugradnja asfaltne mješavine za nosive slojeve od bitumeniziranog materijala po vrućem postupku u sloju debljine 6 cm na voznim površinama.  Radove izvest prema O.T.U za radove na cestama točka 7.2.2. Gornji bitumenizirani nosivi sloj /AC 16 surf 50/70 AG4 M4/  nanosi se na potpuno uređenom i po nadzornom inženjeru preuzetom tamponskom sloju. Predviđa se AC 16 izvesti od kamenog materijala max. vel. zrna 16 mm s dodatkom kamenog brašna. Kao vezivo primjeniti bitumen tipa BIT  60  . Izrada i sastav mase treba biti u skladu s važećim tehničkim uvjetima i stnadardima. Dopušteno odstupanje ugrađenog sloja može biti 10 % u odnosu na projektiranu debljinu, ravnost površine ugrađenog sloja može biti +- 7 mm, nivelete max. +- 1 cm od projektirane, a poprečni pad može odstupati najviše +- 0,4 % aps. od projektiranog. U jediničnoj cijeni sadržani su svi troškovi nabave materijala, proizvodnje i ugradnje asfaltne mješavine, prijevoz, oprema i svi ostali troškovi potrebni za izvođenje radova. Obračun po m2 ugrađenog zastora.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 kolnika je projektirana 3,0 m.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100,0 x 2,75 =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AC 16 surf 50/70 AG4, M4-E  debljine 6 cm-uvaljano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275,00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66EB6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402963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>str. 5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402963" w:rsidRDefault="00402963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866EB6" w:rsidTr="00402963">
        <w:trPr>
          <w:trHeight w:val="80"/>
        </w:trPr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4.00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1,0</w:t>
            </w: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___________________</w:t>
            </w: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866EB6" w:rsidTr="004650CE">
        <w:tc>
          <w:tcPr>
            <w:tcW w:w="817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866EB6" w:rsidRDefault="00866EB6" w:rsidP="004650CE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866EB6" w:rsidRDefault="00866EB6" w:rsidP="00866EB6">
      <w:pPr>
        <w:tabs>
          <w:tab w:val="left" w:pos="567"/>
        </w:tabs>
        <w:spacing w:line="360" w:lineRule="auto"/>
      </w:pPr>
    </w:p>
    <w:p w:rsidR="00866EB6" w:rsidRDefault="00866EB6" w:rsidP="00866EB6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866EB6" w:rsidRDefault="00866EB6" w:rsidP="00866EB6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866EB6" w:rsidRDefault="00866EB6" w:rsidP="00866EB6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866EB6" w:rsidRDefault="00866EB6" w:rsidP="00866EB6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866EB6" w:rsidRDefault="00866EB6" w:rsidP="00866EB6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866EB6" w:rsidRDefault="00866EB6" w:rsidP="00866EB6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866EB6" w:rsidRDefault="00866EB6" w:rsidP="00866EB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866EB6" w:rsidRDefault="00866EB6" w:rsidP="00866EB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866EB6" w:rsidRDefault="00866EB6" w:rsidP="00866EB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866EB6" w:rsidRDefault="00866EB6" w:rsidP="00866EB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 xml:space="preserve">       4.00.SAOBRAĆAJNA SIGNALIZACIJA</w:t>
      </w:r>
    </w:p>
    <w:p w:rsidR="00866EB6" w:rsidRDefault="00866EB6" w:rsidP="00866EB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>______________________________________________________________________</w:t>
      </w:r>
    </w:p>
    <w:p w:rsidR="00866EB6" w:rsidRDefault="00866EB6" w:rsidP="00866EB6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>UKUPNO:</w:t>
      </w:r>
      <w:r>
        <w:rPr>
          <w:rFonts w:ascii="Arial" w:hAnsi="Arial" w:cs="Arial"/>
          <w:bCs/>
          <w:sz w:val="28"/>
          <w:szCs w:val="2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866EB6" w:rsidRDefault="00866EB6" w:rsidP="00866EB6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>PDV  25 %</w:t>
      </w: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866EB6" w:rsidRDefault="00866EB6" w:rsidP="00866EB6">
      <w:r>
        <w:rPr>
          <w:rFonts w:ascii="Arial" w:hAnsi="Arial" w:cs="Arial"/>
          <w:bCs/>
          <w:sz w:val="28"/>
          <w:szCs w:val="28"/>
          <w:lang w:val="de-DE"/>
        </w:rPr>
        <w:tab/>
        <w:t xml:space="preserve">SVEUKUPNO:                              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sectPr w:rsidR="00866EB6" w:rsidSect="00F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6EB6"/>
    <w:rsid w:val="00314453"/>
    <w:rsid w:val="00387B7E"/>
    <w:rsid w:val="00402963"/>
    <w:rsid w:val="00496A63"/>
    <w:rsid w:val="00556A2B"/>
    <w:rsid w:val="006E3C3C"/>
    <w:rsid w:val="00717AB0"/>
    <w:rsid w:val="00756F6D"/>
    <w:rsid w:val="007E6835"/>
    <w:rsid w:val="00866EB6"/>
    <w:rsid w:val="00934340"/>
    <w:rsid w:val="00A35BFD"/>
    <w:rsid w:val="00B23844"/>
    <w:rsid w:val="00BC7446"/>
    <w:rsid w:val="00E97746"/>
    <w:rsid w:val="00F0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B6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 Jakopović</cp:lastModifiedBy>
  <cp:revision>2</cp:revision>
  <dcterms:created xsi:type="dcterms:W3CDTF">2018-07-25T20:27:00Z</dcterms:created>
  <dcterms:modified xsi:type="dcterms:W3CDTF">2018-07-25T20:27:00Z</dcterms:modified>
</cp:coreProperties>
</file>